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BB228E">
      <w:pPr>
        <w:tabs>
          <w:tab w:val="left" w:pos="8640"/>
        </w:tabs>
        <w:adjustRightInd w:val="0"/>
        <w:snapToGrid w:val="0"/>
        <w:spacing w:line="640" w:lineRule="exact"/>
        <w:jc w:val="center"/>
        <w:rPr>
          <w:rFonts w:ascii="方正黑体简体" w:eastAsia="方正黑体简体"/>
          <w:bCs/>
          <w:spacing w:val="6"/>
        </w:rPr>
      </w:pPr>
      <w:r>
        <w:rPr>
          <w:rFonts w:hint="eastAsia" w:ascii="方正小标宋简体" w:eastAsia="方正小标宋简体"/>
          <w:bCs/>
          <w:sz w:val="36"/>
          <w:szCs w:val="36"/>
        </w:rPr>
        <w:t>食品与健康学院</w:t>
      </w:r>
      <w:bookmarkStart w:id="0" w:name="OLE_LINK1"/>
      <w:r>
        <w:rPr>
          <w:rFonts w:ascii="方正小标宋简体" w:eastAsia="方正小标宋简体"/>
          <w:bCs/>
          <w:sz w:val="36"/>
          <w:szCs w:val="36"/>
        </w:rPr>
        <w:t>20</w:t>
      </w:r>
      <w:r>
        <w:rPr>
          <w:rFonts w:hint="eastAsia" w:ascii="方正小标宋简体" w:eastAsia="方正小标宋简体"/>
          <w:bCs/>
          <w:sz w:val="36"/>
          <w:szCs w:val="36"/>
          <w:lang w:val="en-US"/>
        </w:rPr>
        <w:t>24</w:t>
      </w:r>
      <w:r>
        <w:rPr>
          <w:rFonts w:hint="eastAsia" w:ascii="方正小标宋简体" w:eastAsia="方正小标宋简体"/>
          <w:bCs/>
          <w:sz w:val="36"/>
          <w:szCs w:val="36"/>
          <w:lang w:val="en-US" w:eastAsia="zh-Hans"/>
        </w:rPr>
        <w:t>年</w:t>
      </w:r>
      <w:r>
        <w:rPr>
          <w:rFonts w:hint="eastAsia" w:ascii="方正小标宋简体" w:eastAsia="方正小标宋简体"/>
          <w:bCs/>
          <w:sz w:val="36"/>
          <w:szCs w:val="36"/>
          <w:lang w:val="en-US"/>
        </w:rPr>
        <w:t>“食创杯”</w:t>
      </w:r>
      <w:r>
        <w:rPr>
          <w:rFonts w:hint="eastAsia" w:ascii="方正小标宋简体" w:eastAsia="方正小标宋简体"/>
          <w:bCs/>
          <w:sz w:val="36"/>
          <w:szCs w:val="36"/>
          <w:lang w:val="en-US" w:eastAsia="zh-Hans"/>
        </w:rPr>
        <w:t>科创项目信息征集表</w:t>
      </w:r>
      <w:bookmarkEnd w:id="0"/>
    </w:p>
    <w:p w14:paraId="680FCDEF">
      <w:pPr>
        <w:tabs>
          <w:tab w:val="left" w:pos="8640"/>
        </w:tabs>
        <w:adjustRightInd w:val="0"/>
        <w:snapToGrid w:val="0"/>
        <w:spacing w:line="560" w:lineRule="exact"/>
        <w:rPr>
          <w:rFonts w:ascii="方正黑体简体" w:eastAsia="方正黑体简体"/>
          <w:bCs/>
          <w:spacing w:val="6"/>
          <w:sz w:val="32"/>
          <w:szCs w:val="32"/>
        </w:rPr>
      </w:pPr>
    </w:p>
    <w:p w14:paraId="5B642411">
      <w:pPr>
        <w:tabs>
          <w:tab w:val="left" w:pos="8640"/>
        </w:tabs>
        <w:adjustRightInd w:val="0"/>
        <w:snapToGrid w:val="0"/>
        <w:spacing w:line="560" w:lineRule="exact"/>
        <w:rPr>
          <w:rFonts w:ascii="方正楷体简体" w:hAnsi="方正楷体简体" w:eastAsia="方正楷体简体" w:cs="方正楷体简体"/>
          <w:bCs/>
          <w:spacing w:val="6"/>
        </w:rPr>
      </w:pPr>
      <w:r>
        <w:rPr>
          <w:rFonts w:hint="eastAsia" w:ascii="方正黑体简体" w:eastAsia="方正黑体简体"/>
          <w:bCs/>
          <w:spacing w:val="6"/>
          <w:sz w:val="32"/>
          <w:szCs w:val="32"/>
        </w:rPr>
        <w:t>一、项目</w:t>
      </w:r>
      <w:r>
        <w:rPr>
          <w:rFonts w:hint="eastAsia" w:ascii="方正黑体简体" w:eastAsia="方正黑体简体"/>
          <w:bCs/>
          <w:spacing w:val="6"/>
          <w:sz w:val="32"/>
          <w:szCs w:val="32"/>
          <w:lang w:val="en-US"/>
        </w:rPr>
        <w:t>指导教师</w:t>
      </w:r>
      <w:r>
        <w:rPr>
          <w:rFonts w:hint="eastAsia" w:ascii="方正黑体简体" w:eastAsia="方正黑体简体"/>
          <w:bCs/>
          <w:spacing w:val="6"/>
          <w:sz w:val="32"/>
          <w:szCs w:val="32"/>
        </w:rPr>
        <w:t>信息</w:t>
      </w:r>
    </w:p>
    <w:tbl>
      <w:tblPr>
        <w:tblStyle w:val="4"/>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6440"/>
      </w:tblGrid>
      <w:tr w14:paraId="0A700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160" w:type="dxa"/>
            <w:vAlign w:val="center"/>
          </w:tcPr>
          <w:p w14:paraId="793069ED">
            <w:pPr>
              <w:adjustRightInd w:val="0"/>
              <w:spacing w:line="560" w:lineRule="exact"/>
              <w:jc w:val="center"/>
              <w:rPr>
                <w:rFonts w:ascii="方正楷体简体" w:eastAsia="方正楷体简体"/>
                <w:sz w:val="28"/>
                <w:szCs w:val="32"/>
                <w:lang w:val="en-US"/>
              </w:rPr>
            </w:pPr>
            <w:r>
              <w:rPr>
                <w:rFonts w:hint="eastAsia" w:ascii="方正楷体简体" w:eastAsia="方正楷体简体"/>
                <w:sz w:val="28"/>
                <w:szCs w:val="32"/>
                <w:lang w:val="en-US"/>
              </w:rPr>
              <w:t>姓名</w:t>
            </w:r>
          </w:p>
        </w:tc>
        <w:tc>
          <w:tcPr>
            <w:tcW w:w="6440" w:type="dxa"/>
            <w:vAlign w:val="center"/>
          </w:tcPr>
          <w:p w14:paraId="148D95BF">
            <w:pPr>
              <w:jc w:val="center"/>
              <w:textAlignment w:val="center"/>
              <w:rPr>
                <w:rFonts w:hint="eastAsia" w:ascii="Times New Roman Regular" w:hAnsi="Times New Roman Regular" w:eastAsia="方正仿宋简体" w:cs="Times New Roman Regular"/>
                <w:color w:val="000000"/>
              </w:rPr>
            </w:pPr>
            <w:r>
              <w:rPr>
                <w:rFonts w:hint="eastAsia" w:ascii="Times New Roman Regular" w:hAnsi="Times New Roman Regular" w:eastAsia="方正仿宋简体" w:cs="Times New Roman Regular"/>
                <w:color w:val="000000"/>
              </w:rPr>
              <w:t>郦金龙</w:t>
            </w:r>
          </w:p>
        </w:tc>
      </w:tr>
      <w:tr w14:paraId="3AA0D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160" w:type="dxa"/>
            <w:vAlign w:val="center"/>
          </w:tcPr>
          <w:p w14:paraId="62C29481">
            <w:pPr>
              <w:adjustRightInd w:val="0"/>
              <w:spacing w:line="560" w:lineRule="exact"/>
              <w:jc w:val="center"/>
              <w:rPr>
                <w:rFonts w:ascii="方正楷体简体" w:eastAsia="方正楷体简体"/>
                <w:sz w:val="28"/>
                <w:szCs w:val="32"/>
                <w:lang w:val="en-US"/>
              </w:rPr>
            </w:pPr>
            <w:r>
              <w:rPr>
                <w:rFonts w:hint="eastAsia" w:ascii="方正楷体简体" w:eastAsia="方正楷体简体"/>
                <w:sz w:val="28"/>
                <w:szCs w:val="32"/>
                <w:lang w:val="en-US"/>
              </w:rPr>
              <w:t>所属专业</w:t>
            </w:r>
          </w:p>
        </w:tc>
        <w:tc>
          <w:tcPr>
            <w:tcW w:w="6440" w:type="dxa"/>
            <w:vAlign w:val="center"/>
          </w:tcPr>
          <w:p w14:paraId="7A884A81">
            <w:pPr>
              <w:jc w:val="center"/>
              <w:textAlignment w:val="center"/>
              <w:rPr>
                <w:rFonts w:ascii="Times New Roman Regular" w:hAnsi="Times New Roman Regular" w:eastAsia="方正仿宋简体" w:cs="Times New Roman Regular"/>
                <w:color w:val="000000"/>
              </w:rPr>
            </w:pPr>
            <w:r>
              <w:rPr>
                <w:rFonts w:hint="eastAsia" w:ascii="Times New Roman Regular" w:hAnsi="Times New Roman Regular" w:eastAsia="方正仿宋简体" w:cs="Times New Roman Regular"/>
                <w:color w:val="000000"/>
              </w:rPr>
              <w:t>食品科学与工程、食品营养与健康</w:t>
            </w:r>
          </w:p>
        </w:tc>
      </w:tr>
      <w:tr w14:paraId="2FD9D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0" w:type="dxa"/>
            <w:vAlign w:val="center"/>
          </w:tcPr>
          <w:p w14:paraId="3AEA5656">
            <w:pPr>
              <w:adjustRightInd w:val="0"/>
              <w:spacing w:line="560" w:lineRule="exact"/>
              <w:jc w:val="center"/>
              <w:rPr>
                <w:rFonts w:ascii="方正楷体简体" w:eastAsia="方正楷体简体"/>
                <w:sz w:val="28"/>
                <w:szCs w:val="32"/>
                <w:lang w:val="en-US" w:eastAsia="zh-Hans"/>
              </w:rPr>
            </w:pPr>
            <w:r>
              <w:rPr>
                <w:rFonts w:hint="eastAsia" w:ascii="方正楷体简体" w:eastAsia="方正楷体简体"/>
                <w:sz w:val="28"/>
                <w:szCs w:val="32"/>
                <w:lang w:val="en-US" w:eastAsia="zh-Hans"/>
              </w:rPr>
              <w:t>职务</w:t>
            </w:r>
            <w:r>
              <w:rPr>
                <w:rFonts w:ascii="方正楷体简体" w:eastAsia="方正楷体简体"/>
                <w:sz w:val="28"/>
                <w:szCs w:val="32"/>
                <w:lang w:eastAsia="zh-Hans"/>
              </w:rPr>
              <w:t>/</w:t>
            </w:r>
            <w:r>
              <w:rPr>
                <w:rFonts w:hint="eastAsia" w:ascii="方正楷体简体" w:eastAsia="方正楷体简体"/>
                <w:sz w:val="28"/>
                <w:szCs w:val="32"/>
                <w:lang w:val="en-US" w:eastAsia="zh-Hans"/>
              </w:rPr>
              <w:t>职称</w:t>
            </w:r>
          </w:p>
        </w:tc>
        <w:tc>
          <w:tcPr>
            <w:tcW w:w="6440" w:type="dxa"/>
            <w:vAlign w:val="center"/>
          </w:tcPr>
          <w:p w14:paraId="43E81CE5">
            <w:pPr>
              <w:adjustRightInd w:val="0"/>
              <w:jc w:val="center"/>
              <w:rPr>
                <w:rFonts w:ascii="Times New Roman Regular" w:hAnsi="Times New Roman Regular" w:eastAsia="方正仿宋简体" w:cs="Times New Roman Regular"/>
              </w:rPr>
            </w:pPr>
            <w:r>
              <w:rPr>
                <w:rFonts w:hint="eastAsia" w:ascii="Times New Roman Regular" w:hAnsi="Times New Roman Regular" w:eastAsia="方正仿宋简体" w:cs="Times New Roman Regular"/>
              </w:rPr>
              <w:t>教授</w:t>
            </w:r>
          </w:p>
        </w:tc>
      </w:tr>
      <w:tr w14:paraId="6C34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0" w:type="dxa"/>
            <w:vAlign w:val="center"/>
          </w:tcPr>
          <w:p w14:paraId="30E146D4">
            <w:pPr>
              <w:adjustRightInd w:val="0"/>
              <w:spacing w:line="560" w:lineRule="exact"/>
              <w:jc w:val="center"/>
              <w:rPr>
                <w:rFonts w:ascii="方正楷体简体" w:eastAsia="方正楷体简体"/>
                <w:sz w:val="28"/>
                <w:szCs w:val="32"/>
                <w:lang w:val="en-US" w:eastAsia="zh-Hans"/>
              </w:rPr>
            </w:pPr>
            <w:r>
              <w:rPr>
                <w:rFonts w:hint="eastAsia" w:ascii="方正楷体简体" w:eastAsia="方正楷体简体"/>
                <w:sz w:val="28"/>
                <w:szCs w:val="32"/>
                <w:lang w:val="en-US"/>
              </w:rPr>
              <w:t>联系</w:t>
            </w:r>
            <w:r>
              <w:rPr>
                <w:rFonts w:hint="eastAsia" w:ascii="方正楷体简体" w:eastAsia="方正楷体简体"/>
                <w:sz w:val="28"/>
                <w:szCs w:val="32"/>
                <w:lang w:val="en-US" w:eastAsia="zh-Hans"/>
              </w:rPr>
              <w:t>方式</w:t>
            </w:r>
          </w:p>
          <w:p w14:paraId="0DC6BFB7">
            <w:pPr>
              <w:adjustRightInd w:val="0"/>
              <w:spacing w:line="560" w:lineRule="exact"/>
              <w:jc w:val="center"/>
              <w:rPr>
                <w:rFonts w:ascii="方正楷体简体" w:eastAsia="方正楷体简体"/>
                <w:sz w:val="28"/>
                <w:szCs w:val="32"/>
                <w:lang w:val="en-US"/>
              </w:rPr>
            </w:pPr>
            <w:r>
              <w:rPr>
                <w:rFonts w:hint="eastAsia" w:ascii="方正楷体简体" w:eastAsia="方正楷体简体"/>
                <w:sz w:val="28"/>
                <w:szCs w:val="32"/>
                <w:lang w:val="en-US" w:eastAsia="zh-Hans"/>
              </w:rPr>
              <w:t>（电话</w:t>
            </w:r>
            <w:r>
              <w:rPr>
                <w:rFonts w:ascii="方正楷体简体" w:eastAsia="方正楷体简体"/>
                <w:sz w:val="28"/>
                <w:szCs w:val="32"/>
                <w:lang w:eastAsia="zh-Hans"/>
              </w:rPr>
              <w:t>/</w:t>
            </w:r>
            <w:r>
              <w:rPr>
                <w:rFonts w:hint="eastAsia" w:ascii="方正楷体简体" w:eastAsia="方正楷体简体"/>
                <w:sz w:val="28"/>
                <w:szCs w:val="32"/>
                <w:lang w:val="en-US" w:eastAsia="zh-Hans"/>
              </w:rPr>
              <w:t>邮箱）</w:t>
            </w:r>
          </w:p>
        </w:tc>
        <w:tc>
          <w:tcPr>
            <w:tcW w:w="6440" w:type="dxa"/>
            <w:vAlign w:val="center"/>
          </w:tcPr>
          <w:p w14:paraId="3CA11554">
            <w:pPr>
              <w:adjustRightInd w:val="0"/>
              <w:jc w:val="center"/>
              <w:rPr>
                <w:rFonts w:ascii="Times New Roman Regular" w:hAnsi="Times New Roman Regular" w:eastAsia="方正仿宋简体" w:cs="Times New Roman Regular"/>
                <w:lang w:val="en-US"/>
              </w:rPr>
            </w:pPr>
            <w:r>
              <w:rPr>
                <w:rFonts w:hint="eastAsia" w:ascii="Times New Roman Regular" w:hAnsi="Times New Roman Regular" w:eastAsia="方正仿宋简体" w:cs="Times New Roman Regular"/>
                <w:lang w:val="en-US"/>
              </w:rPr>
              <w:t>lijinlong@btbu.edu.cn</w:t>
            </w:r>
          </w:p>
        </w:tc>
      </w:tr>
      <w:tr w14:paraId="4E747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60" w:type="dxa"/>
            <w:vAlign w:val="center"/>
          </w:tcPr>
          <w:p w14:paraId="52FD7C1A">
            <w:pPr>
              <w:adjustRightInd w:val="0"/>
              <w:spacing w:line="560" w:lineRule="exact"/>
              <w:jc w:val="center"/>
              <w:rPr>
                <w:rFonts w:ascii="方正楷体简体" w:eastAsia="方正楷体简体"/>
                <w:sz w:val="28"/>
                <w:szCs w:val="32"/>
                <w:lang w:val="en-US"/>
              </w:rPr>
            </w:pPr>
            <w:r>
              <w:rPr>
                <w:rFonts w:hint="eastAsia" w:ascii="方正楷体简体" w:eastAsia="方正楷体简体"/>
                <w:sz w:val="28"/>
                <w:szCs w:val="32"/>
                <w:lang w:val="en-US"/>
              </w:rPr>
              <w:t>联系地址</w:t>
            </w:r>
          </w:p>
        </w:tc>
        <w:tc>
          <w:tcPr>
            <w:tcW w:w="6440" w:type="dxa"/>
            <w:vAlign w:val="center"/>
          </w:tcPr>
          <w:p w14:paraId="70180F32">
            <w:pPr>
              <w:adjustRightInd w:val="0"/>
              <w:jc w:val="center"/>
              <w:rPr>
                <w:rFonts w:ascii="Times New Roman Regular" w:hAnsi="Times New Roman Regular" w:eastAsia="方正仿宋简体" w:cs="Times New Roman Regular"/>
              </w:rPr>
            </w:pPr>
            <w:bookmarkStart w:id="1" w:name="OLE_LINK2"/>
            <w:r>
              <w:rPr>
                <w:rFonts w:hint="eastAsia" w:ascii="Times New Roman Regular" w:hAnsi="Times New Roman Regular" w:eastAsia="方正仿宋简体" w:cs="Times New Roman Regular"/>
              </w:rPr>
              <w:t>北京市海淀区阜成路北京工商大学东区科教楼1</w:t>
            </w:r>
            <w:r>
              <w:rPr>
                <w:rFonts w:ascii="Times New Roman Regular" w:hAnsi="Times New Roman Regular" w:eastAsia="方正仿宋简体" w:cs="Times New Roman Regular"/>
              </w:rPr>
              <w:t>308</w:t>
            </w:r>
            <w:bookmarkEnd w:id="1"/>
          </w:p>
        </w:tc>
      </w:tr>
      <w:tr w14:paraId="0540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9" w:hRule="atLeast"/>
          <w:jc w:val="center"/>
        </w:trPr>
        <w:tc>
          <w:tcPr>
            <w:tcW w:w="2160" w:type="dxa"/>
            <w:vAlign w:val="center"/>
          </w:tcPr>
          <w:p w14:paraId="3549CBB7">
            <w:pPr>
              <w:adjustRightInd w:val="0"/>
              <w:spacing w:line="560" w:lineRule="exact"/>
              <w:jc w:val="center"/>
              <w:rPr>
                <w:rFonts w:ascii="方正楷体简体" w:eastAsia="方正楷体简体"/>
                <w:sz w:val="28"/>
                <w:szCs w:val="32"/>
                <w:lang w:val="en-US"/>
              </w:rPr>
            </w:pPr>
            <w:r>
              <w:rPr>
                <w:rFonts w:hint="eastAsia" w:ascii="方正楷体简体" w:eastAsia="方正楷体简体"/>
                <w:sz w:val="28"/>
                <w:szCs w:val="32"/>
                <w:lang w:val="en-US"/>
              </w:rPr>
              <w:t>教师简介</w:t>
            </w:r>
          </w:p>
        </w:tc>
        <w:tc>
          <w:tcPr>
            <w:tcW w:w="6440" w:type="dxa"/>
            <w:vAlign w:val="center"/>
          </w:tcPr>
          <w:p w14:paraId="50C03BAD">
            <w:pPr>
              <w:adjustRightInd w:val="0"/>
              <w:jc w:val="center"/>
              <w:rPr>
                <w:rFonts w:ascii="Times New Roman Regular" w:hAnsi="Times New Roman Regular" w:eastAsia="方正仿宋简体" w:cs="Times New Roman Regular"/>
              </w:rPr>
            </w:pPr>
            <w:r>
              <w:fldChar w:fldCharType="begin"/>
            </w:r>
            <w:r>
              <w:instrText xml:space="preserve"> HYPERLINK "https://spxy.btbu.edu.cn/szdw/spyyyjkx/spyyyjkxjs/519c4301465a4df394667608d43dba73.htm" </w:instrText>
            </w:r>
            <w:r>
              <w:fldChar w:fldCharType="separate"/>
            </w:r>
            <w:r>
              <w:rPr>
                <w:rStyle w:val="6"/>
                <w:rFonts w:ascii="Times New Roman Regular" w:hAnsi="Times New Roman Regular" w:eastAsia="方正仿宋简体" w:cs="Times New Roman Regular"/>
              </w:rPr>
              <w:t>https://spxy.btbu.edu.cn/szdw/spyyyjkx/spyyyjkxjs/519c4301465a4df394667608d43dba73.htm</w:t>
            </w:r>
            <w:r>
              <w:rPr>
                <w:rStyle w:val="6"/>
                <w:rFonts w:ascii="Times New Roman Regular" w:hAnsi="Times New Roman Regular" w:eastAsia="方正仿宋简体" w:cs="Times New Roman Regular"/>
              </w:rPr>
              <w:fldChar w:fldCharType="end"/>
            </w:r>
            <w:r>
              <w:rPr>
                <w:rFonts w:ascii="Times New Roman Regular" w:hAnsi="Times New Roman Regular" w:eastAsia="方正仿宋简体" w:cs="Times New Roman Regular"/>
              </w:rPr>
              <w:t xml:space="preserve"> </w:t>
            </w:r>
          </w:p>
        </w:tc>
      </w:tr>
    </w:tbl>
    <w:p w14:paraId="5F881506">
      <w:pPr>
        <w:tabs>
          <w:tab w:val="left" w:pos="8640"/>
        </w:tabs>
        <w:adjustRightInd w:val="0"/>
        <w:snapToGrid w:val="0"/>
        <w:spacing w:line="560" w:lineRule="exact"/>
        <w:rPr>
          <w:rFonts w:ascii="方正黑体简体" w:eastAsia="方正黑体简体"/>
          <w:bCs/>
          <w:spacing w:val="6"/>
          <w:sz w:val="32"/>
          <w:szCs w:val="32"/>
        </w:rPr>
      </w:pPr>
      <w:r>
        <w:rPr>
          <w:rFonts w:hint="eastAsia" w:ascii="方正黑体简体" w:eastAsia="方正黑体简体"/>
          <w:bCs/>
          <w:spacing w:val="6"/>
          <w:sz w:val="32"/>
          <w:szCs w:val="32"/>
        </w:rPr>
        <w:t>二、项目选题说明</w:t>
      </w:r>
    </w:p>
    <w:tbl>
      <w:tblPr>
        <w:tblStyle w:val="4"/>
        <w:tblW w:w="850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57" w:type="dxa"/>
          <w:left w:w="57" w:type="dxa"/>
          <w:bottom w:w="57" w:type="dxa"/>
          <w:right w:w="57" w:type="dxa"/>
        </w:tblCellMar>
      </w:tblPr>
      <w:tblGrid>
        <w:gridCol w:w="2112"/>
        <w:gridCol w:w="6392"/>
      </w:tblGrid>
      <w:tr w14:paraId="582E0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90" w:hRule="atLeast"/>
          <w:jc w:val="center"/>
        </w:trPr>
        <w:tc>
          <w:tcPr>
            <w:tcW w:w="2112" w:type="dxa"/>
            <w:tcBorders>
              <w:tl2br w:val="nil"/>
              <w:tr2bl w:val="nil"/>
            </w:tcBorders>
            <w:shd w:val="clear" w:color="auto" w:fill="FFFFFF"/>
            <w:vAlign w:val="center"/>
          </w:tcPr>
          <w:p w14:paraId="263CBE0D">
            <w:pPr>
              <w:adjustRightInd w:val="0"/>
              <w:snapToGrid w:val="0"/>
              <w:spacing w:line="560" w:lineRule="exact"/>
              <w:jc w:val="center"/>
              <w:rPr>
                <w:rFonts w:ascii="方正楷体简体" w:eastAsia="方正楷体简体"/>
                <w:sz w:val="28"/>
                <w:szCs w:val="28"/>
                <w:lang w:val="en-US"/>
              </w:rPr>
            </w:pPr>
            <w:r>
              <w:rPr>
                <w:rFonts w:hint="eastAsia" w:ascii="方正楷体简体" w:eastAsia="方正楷体简体"/>
                <w:sz w:val="28"/>
                <w:szCs w:val="28"/>
                <w:lang w:val="en-US" w:eastAsia="zh-Hans"/>
              </w:rPr>
              <w:t>选题名称</w:t>
            </w:r>
            <w:r>
              <w:rPr>
                <w:rFonts w:hint="eastAsia" w:ascii="方正楷体简体" w:eastAsia="方正楷体简体"/>
                <w:sz w:val="28"/>
                <w:szCs w:val="28"/>
                <w:lang w:val="en-US"/>
              </w:rPr>
              <w:t>1</w:t>
            </w:r>
          </w:p>
        </w:tc>
        <w:tc>
          <w:tcPr>
            <w:tcW w:w="6392" w:type="dxa"/>
            <w:tcBorders>
              <w:tl2br w:val="nil"/>
              <w:tr2bl w:val="nil"/>
            </w:tcBorders>
            <w:shd w:val="clear" w:color="auto" w:fill="FFFFFF"/>
            <w:vAlign w:val="center"/>
          </w:tcPr>
          <w:p w14:paraId="4DCD5293">
            <w:pPr>
              <w:adjustRightInd w:val="0"/>
              <w:jc w:val="center"/>
              <w:rPr>
                <w:rFonts w:ascii="Times New Roman Regular" w:hAnsi="Times New Roman Regular" w:eastAsia="方正仿宋简体" w:cs="Times New Roman Regular"/>
              </w:rPr>
            </w:pPr>
            <w:bookmarkStart w:id="2" w:name="_GoBack"/>
            <w:r>
              <w:rPr>
                <w:rFonts w:hint="eastAsia" w:ascii="Times New Roman Regular" w:hAnsi="Times New Roman Regular" w:eastAsia="方正仿宋简体" w:cs="Times New Roman Regular"/>
                <w:b/>
                <w:bCs/>
              </w:rPr>
              <w:t>基于脂肪酶催化的多肽绿色合成路径探索</w:t>
            </w:r>
            <w:bookmarkEnd w:id="2"/>
          </w:p>
        </w:tc>
      </w:tr>
      <w:tr w14:paraId="74B5F5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2112" w:type="dxa"/>
            <w:tcBorders>
              <w:tl2br w:val="nil"/>
              <w:tr2bl w:val="nil"/>
            </w:tcBorders>
            <w:shd w:val="clear" w:color="auto" w:fill="FFFFFF"/>
            <w:vAlign w:val="center"/>
          </w:tcPr>
          <w:p w14:paraId="3978587D">
            <w:pPr>
              <w:adjustRightInd w:val="0"/>
              <w:snapToGrid w:val="0"/>
              <w:spacing w:line="560" w:lineRule="exact"/>
              <w:jc w:val="center"/>
              <w:rPr>
                <w:rFonts w:ascii="方正楷体简体" w:eastAsia="方正楷体简体"/>
                <w:sz w:val="28"/>
                <w:szCs w:val="28"/>
              </w:rPr>
            </w:pPr>
            <w:r>
              <w:rPr>
                <w:rFonts w:hint="eastAsia" w:ascii="方正楷体简体" w:eastAsia="方正楷体简体"/>
                <w:sz w:val="28"/>
                <w:szCs w:val="28"/>
                <w:lang w:val="en-US" w:eastAsia="zh-Hans"/>
              </w:rPr>
              <w:t>选题背景及意义</w:t>
            </w:r>
          </w:p>
        </w:tc>
        <w:tc>
          <w:tcPr>
            <w:tcW w:w="6392" w:type="dxa"/>
            <w:tcBorders>
              <w:tl2br w:val="nil"/>
              <w:tr2bl w:val="nil"/>
            </w:tcBorders>
            <w:shd w:val="clear" w:color="auto" w:fill="FFFFFF"/>
            <w:vAlign w:val="center"/>
          </w:tcPr>
          <w:p w14:paraId="040E4EA9">
            <w:pPr>
              <w:adjustRightInd w:val="0"/>
              <w:snapToGrid w:val="0"/>
              <w:rPr>
                <w:rFonts w:ascii="Times New Roman Regular" w:hAnsi="Times New Roman Regular" w:eastAsia="方正仿宋简体" w:cs="Times New Roman Regular"/>
                <w:bCs/>
                <w:spacing w:val="6"/>
                <w:szCs w:val="28"/>
              </w:rPr>
            </w:pPr>
          </w:p>
          <w:p w14:paraId="0F93B317">
            <w:pPr>
              <w:adjustRightInd w:val="0"/>
              <w:snapToGrid w:val="0"/>
              <w:ind w:firstLine="504" w:firstLineChars="200"/>
              <w:rPr>
                <w:rFonts w:cs="Times New Roman Regular" w:asciiTheme="minorEastAsia" w:hAnsiTheme="minorEastAsia" w:eastAsiaTheme="minorEastAsia"/>
                <w:bCs/>
                <w:spacing w:val="6"/>
                <w:szCs w:val="28"/>
              </w:rPr>
            </w:pPr>
            <w:r>
              <w:rPr>
                <w:rFonts w:hint="eastAsia" w:cs="Times New Roman Regular" w:asciiTheme="minorEastAsia" w:hAnsiTheme="minorEastAsia" w:eastAsiaTheme="minorEastAsia"/>
                <w:bCs/>
                <w:spacing w:val="6"/>
                <w:szCs w:val="28"/>
              </w:rPr>
              <w:t>多肽是α－氨基酸以肽键连接在一起而形成的化合物，具有明确而多效的功能，在保健食品、美容、医疗等众多领域具有十分广阔的应用前景。</w:t>
            </w:r>
          </w:p>
          <w:p w14:paraId="1B1DBBAC">
            <w:pPr>
              <w:adjustRightInd w:val="0"/>
              <w:snapToGrid w:val="0"/>
              <w:ind w:firstLine="504" w:firstLineChars="200"/>
              <w:rPr>
                <w:rFonts w:cs="Times New Roman Regular" w:asciiTheme="minorEastAsia" w:hAnsiTheme="minorEastAsia" w:eastAsiaTheme="minorEastAsia"/>
                <w:bCs/>
                <w:spacing w:val="6"/>
                <w:szCs w:val="28"/>
              </w:rPr>
            </w:pPr>
            <w:r>
              <w:rPr>
                <w:rFonts w:hint="eastAsia" w:cs="Times New Roman Regular" w:asciiTheme="minorEastAsia" w:hAnsiTheme="minorEastAsia" w:eastAsiaTheme="minorEastAsia"/>
                <w:bCs/>
                <w:spacing w:val="6"/>
                <w:szCs w:val="28"/>
              </w:rPr>
              <w:t>一般，经典的多肽的获得有两种路径，一是化学固相合成法，即以氨基酸与氨基酸之间缩合的形式进行。二是生物合成法，包括蛋白的酶法水解、发酵法等。化学固相法的主要问题在于是合成经济性问题，而酶法水解、发酵法的主要问题是多肽结构可控性差。因此，探索新的多肽绿色合成路径对于多肽合成及多肽开发与应用具有重大意义。</w:t>
            </w:r>
          </w:p>
          <w:p w14:paraId="48DA39C4">
            <w:pPr>
              <w:adjustRightInd w:val="0"/>
              <w:snapToGrid w:val="0"/>
              <w:ind w:firstLine="504" w:firstLineChars="200"/>
              <w:rPr>
                <w:rFonts w:cs="Times New Roman Regular" w:asciiTheme="minorEastAsia" w:hAnsiTheme="minorEastAsia" w:eastAsiaTheme="minorEastAsia"/>
                <w:bCs/>
                <w:spacing w:val="6"/>
                <w:szCs w:val="28"/>
              </w:rPr>
            </w:pPr>
            <w:r>
              <w:rPr>
                <w:rFonts w:hint="eastAsia" w:cs="Times New Roman Regular" w:asciiTheme="minorEastAsia" w:hAnsiTheme="minorEastAsia" w:eastAsiaTheme="minorEastAsia"/>
                <w:bCs/>
                <w:spacing w:val="6"/>
                <w:szCs w:val="28"/>
              </w:rPr>
              <w:t>脂肪酶</w:t>
            </w:r>
            <w:r>
              <w:rPr>
                <w:rFonts w:cs="Times New Roman Regular" w:asciiTheme="minorEastAsia" w:hAnsiTheme="minorEastAsia" w:eastAsiaTheme="minorEastAsia"/>
                <w:bCs/>
                <w:spacing w:val="6"/>
                <w:szCs w:val="28"/>
              </w:rPr>
              <w:t xml:space="preserve"> ( Lipase</w:t>
            </w:r>
            <w:r>
              <w:rPr>
                <w:rFonts w:hint="eastAsia" w:cs="Times New Roman Regular" w:asciiTheme="minorEastAsia" w:hAnsiTheme="minorEastAsia" w:eastAsiaTheme="minorEastAsia"/>
                <w:bCs/>
                <w:spacing w:val="6"/>
                <w:szCs w:val="28"/>
              </w:rPr>
              <w:t>，</w:t>
            </w:r>
            <w:r>
              <w:rPr>
                <w:rFonts w:cs="Times New Roman Regular" w:asciiTheme="minorEastAsia" w:hAnsiTheme="minorEastAsia" w:eastAsiaTheme="minorEastAsia"/>
                <w:bCs/>
                <w:spacing w:val="6"/>
                <w:szCs w:val="28"/>
              </w:rPr>
              <w:t xml:space="preserve">EC 3.1.1.3) </w:t>
            </w:r>
            <w:r>
              <w:rPr>
                <w:rFonts w:hint="eastAsia" w:cs="Times New Roman Regular" w:asciiTheme="minorEastAsia" w:hAnsiTheme="minorEastAsia" w:eastAsiaTheme="minorEastAsia"/>
                <w:bCs/>
                <w:spacing w:val="6"/>
                <w:szCs w:val="28"/>
              </w:rPr>
              <w:t>又称甘油三酯水解酶，其可催化不同底物的一系列水解、酯合成、酯交换、酸解、氨解、醇解等反应，是一种已广泛应用于食品加工、医药卫生、化学合成、环境保护、能源开发，生物传感器等众多领域的生物催化剂。</w:t>
            </w:r>
          </w:p>
          <w:p w14:paraId="48CE098F">
            <w:pPr>
              <w:adjustRightInd w:val="0"/>
              <w:snapToGrid w:val="0"/>
              <w:ind w:firstLine="504" w:firstLineChars="200"/>
              <w:rPr>
                <w:rFonts w:cs="Times New Roman Regular" w:asciiTheme="minorEastAsia" w:hAnsiTheme="minorEastAsia" w:eastAsiaTheme="minorEastAsia"/>
                <w:bCs/>
                <w:spacing w:val="6"/>
                <w:szCs w:val="28"/>
              </w:rPr>
            </w:pPr>
            <w:r>
              <w:rPr>
                <w:rFonts w:hint="eastAsia" w:cs="Times New Roman Regular" w:asciiTheme="minorEastAsia" w:hAnsiTheme="minorEastAsia" w:eastAsiaTheme="minorEastAsia"/>
                <w:bCs/>
                <w:spacing w:val="6"/>
                <w:szCs w:val="28"/>
              </w:rPr>
              <w:t>众多研究已经发现，脂肪酶可以催化羧基（-</w:t>
            </w:r>
            <w:r>
              <w:rPr>
                <w:rFonts w:cs="Times New Roman Regular" w:asciiTheme="minorEastAsia" w:hAnsiTheme="minorEastAsia" w:eastAsiaTheme="minorEastAsia"/>
                <w:bCs/>
                <w:spacing w:val="6"/>
                <w:szCs w:val="28"/>
              </w:rPr>
              <w:t>COOH</w:t>
            </w:r>
            <w:r>
              <w:rPr>
                <w:rFonts w:hint="eastAsia" w:cs="Times New Roman Regular" w:asciiTheme="minorEastAsia" w:hAnsiTheme="minorEastAsia" w:eastAsiaTheme="minorEastAsia"/>
                <w:bCs/>
                <w:spacing w:val="6"/>
                <w:szCs w:val="28"/>
              </w:rPr>
              <w:t>）与氨基（-</w:t>
            </w:r>
            <w:r>
              <w:rPr>
                <w:rFonts w:cs="Times New Roman Regular" w:asciiTheme="minorEastAsia" w:hAnsiTheme="minorEastAsia" w:eastAsiaTheme="minorEastAsia"/>
                <w:bCs/>
                <w:spacing w:val="6"/>
                <w:szCs w:val="28"/>
              </w:rPr>
              <w:t>NH</w:t>
            </w:r>
            <w:r>
              <w:rPr>
                <w:rFonts w:cs="Times New Roman Regular" w:asciiTheme="minorEastAsia" w:hAnsiTheme="minorEastAsia" w:eastAsiaTheme="minorEastAsia"/>
                <w:bCs/>
                <w:spacing w:val="6"/>
                <w:szCs w:val="28"/>
                <w:vertAlign w:val="subscript"/>
              </w:rPr>
              <w:t>2</w:t>
            </w:r>
            <w:r>
              <w:rPr>
                <w:rFonts w:hint="eastAsia" w:cs="Times New Roman Regular" w:asciiTheme="minorEastAsia" w:hAnsiTheme="minorEastAsia" w:eastAsiaTheme="minorEastAsia"/>
                <w:bCs/>
                <w:spacing w:val="6"/>
                <w:szCs w:val="28"/>
              </w:rPr>
              <w:t>）之间形成酰胺键（</w:t>
            </w:r>
            <w:r>
              <w:rPr>
                <w:rFonts w:cs="Times New Roman Regular" w:asciiTheme="minorEastAsia" w:hAnsiTheme="minorEastAsia" w:eastAsiaTheme="minorEastAsia"/>
                <w:bCs/>
                <w:spacing w:val="6"/>
                <w:szCs w:val="28"/>
              </w:rPr>
              <w:t>-CO-NH-</w:t>
            </w:r>
            <w:r>
              <w:rPr>
                <w:rFonts w:hint="eastAsia" w:cs="Times New Roman Regular" w:asciiTheme="minorEastAsia" w:hAnsiTheme="minorEastAsia" w:eastAsiaTheme="minorEastAsia"/>
                <w:bCs/>
                <w:spacing w:val="6"/>
                <w:szCs w:val="28"/>
              </w:rPr>
              <w:t>），而酰胺键从蛋白质（多肽）结构角度而言，正是链接氨基酸之间的肽键。</w:t>
            </w:r>
          </w:p>
          <w:p w14:paraId="119E4F59">
            <w:pPr>
              <w:adjustRightInd w:val="0"/>
              <w:snapToGrid w:val="0"/>
              <w:ind w:firstLine="504" w:firstLineChars="200"/>
              <w:rPr>
                <w:rFonts w:hint="eastAsia" w:cs="Times New Roman Regular" w:asciiTheme="minorEastAsia" w:hAnsiTheme="minorEastAsia" w:eastAsiaTheme="minorEastAsia"/>
                <w:bCs/>
                <w:spacing w:val="6"/>
                <w:szCs w:val="28"/>
              </w:rPr>
            </w:pPr>
            <w:r>
              <w:rPr>
                <w:rFonts w:hint="eastAsia" w:cs="Times New Roman Regular" w:asciiTheme="minorEastAsia" w:hAnsiTheme="minorEastAsia" w:eastAsiaTheme="minorEastAsia"/>
                <w:bCs/>
                <w:spacing w:val="6"/>
                <w:szCs w:val="28"/>
              </w:rPr>
              <w:t>因此，以氨基酸为底物，以脂肪酶为催化剂，构建从氨基酸出发的多肽酶法绿色合成路径，将具有可行性。一旦在技术层面突破，将对多肽的合成形成创新性、乃至颠覆性的影响。</w:t>
            </w:r>
          </w:p>
          <w:p w14:paraId="1A4E97D5">
            <w:pPr>
              <w:adjustRightInd w:val="0"/>
              <w:snapToGrid w:val="0"/>
              <w:rPr>
                <w:rFonts w:ascii="方正仿宋简体" w:eastAsia="方正仿宋简体"/>
                <w:sz w:val="28"/>
                <w:szCs w:val="28"/>
              </w:rPr>
            </w:pPr>
          </w:p>
        </w:tc>
      </w:tr>
      <w:tr w14:paraId="28BF62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2112" w:type="dxa"/>
            <w:tcBorders>
              <w:tl2br w:val="nil"/>
              <w:tr2bl w:val="nil"/>
            </w:tcBorders>
            <w:shd w:val="clear" w:color="auto" w:fill="FFFFFF"/>
            <w:vAlign w:val="center"/>
          </w:tcPr>
          <w:p w14:paraId="38E08593">
            <w:pPr>
              <w:adjustRightInd w:val="0"/>
              <w:snapToGrid w:val="0"/>
              <w:spacing w:line="560" w:lineRule="exact"/>
              <w:jc w:val="center"/>
              <w:rPr>
                <w:rFonts w:ascii="方正楷体简体" w:eastAsia="方正楷体简体"/>
                <w:sz w:val="28"/>
                <w:szCs w:val="28"/>
                <w:lang w:val="en-US" w:eastAsia="zh-Hans"/>
              </w:rPr>
            </w:pPr>
            <w:r>
              <w:rPr>
                <w:rFonts w:hint="eastAsia" w:ascii="方正楷体简体" w:eastAsia="方正楷体简体"/>
                <w:sz w:val="28"/>
                <w:szCs w:val="28"/>
                <w:lang w:val="en-US" w:eastAsia="zh-Hans"/>
              </w:rPr>
              <w:t>选题内容</w:t>
            </w:r>
            <w:r>
              <w:rPr>
                <w:rFonts w:hint="eastAsia" w:ascii="方正楷体简体" w:eastAsia="方正楷体简体"/>
                <w:sz w:val="28"/>
                <w:szCs w:val="28"/>
                <w:lang w:val="en-US"/>
              </w:rPr>
              <w:t>及任务</w:t>
            </w:r>
          </w:p>
        </w:tc>
        <w:tc>
          <w:tcPr>
            <w:tcW w:w="6392" w:type="dxa"/>
            <w:tcBorders>
              <w:tl2br w:val="nil"/>
              <w:tr2bl w:val="nil"/>
            </w:tcBorders>
            <w:shd w:val="clear" w:color="auto" w:fill="FFFFFF"/>
            <w:vAlign w:val="center"/>
          </w:tcPr>
          <w:p w14:paraId="47882E3D">
            <w:pPr>
              <w:adjustRightInd w:val="0"/>
              <w:snapToGrid w:val="0"/>
              <w:rPr>
                <w:rFonts w:cs="Times New Roman Regular" w:asciiTheme="minorEastAsia" w:hAnsiTheme="minorEastAsia" w:eastAsiaTheme="minorEastAsia"/>
                <w:bCs/>
                <w:spacing w:val="6"/>
                <w:szCs w:val="28"/>
              </w:rPr>
            </w:pPr>
            <w:r>
              <w:rPr>
                <w:rFonts w:cs="Times New Roman Regular" w:asciiTheme="minorEastAsia" w:hAnsiTheme="minorEastAsia" w:eastAsiaTheme="minorEastAsia"/>
                <w:bCs/>
                <w:spacing w:val="6"/>
                <w:szCs w:val="28"/>
              </w:rPr>
              <w:t xml:space="preserve">1. </w:t>
            </w:r>
            <w:r>
              <w:rPr>
                <w:rFonts w:hint="eastAsia" w:cs="Times New Roman Regular" w:asciiTheme="minorEastAsia" w:hAnsiTheme="minorEastAsia" w:eastAsiaTheme="minorEastAsia"/>
                <w:bCs/>
                <w:spacing w:val="6"/>
                <w:szCs w:val="28"/>
              </w:rPr>
              <w:t>阐明基于脂肪酶催化多肽合成的共性规律</w:t>
            </w:r>
          </w:p>
          <w:p w14:paraId="4E62AB02">
            <w:pPr>
              <w:adjustRightInd w:val="0"/>
              <w:snapToGrid w:val="0"/>
              <w:ind w:firstLine="504" w:firstLineChars="200"/>
              <w:rPr>
                <w:rFonts w:cs="Times New Roman Regular" w:asciiTheme="minorEastAsia" w:hAnsiTheme="minorEastAsia" w:eastAsiaTheme="minorEastAsia"/>
                <w:bCs/>
                <w:spacing w:val="6"/>
                <w:szCs w:val="28"/>
              </w:rPr>
            </w:pPr>
            <w:r>
              <w:rPr>
                <w:rFonts w:hint="eastAsia" w:cs="Times New Roman Regular" w:asciiTheme="minorEastAsia" w:hAnsiTheme="minorEastAsia" w:eastAsiaTheme="minorEastAsia"/>
                <w:bCs/>
                <w:spacing w:val="6"/>
                <w:szCs w:val="28"/>
              </w:rPr>
              <w:t>基于不同来源脂肪酶催化不同氨基酸形成肽键的活性，阐明脂肪酶催化下氨基酸向多肽转化及多肽分子量分布的共性规律。</w:t>
            </w:r>
          </w:p>
          <w:p w14:paraId="3A474531">
            <w:pPr>
              <w:adjustRightInd w:val="0"/>
              <w:snapToGrid w:val="0"/>
              <w:rPr>
                <w:rFonts w:cs="Times New Roman Regular" w:asciiTheme="minorEastAsia" w:hAnsiTheme="minorEastAsia" w:eastAsiaTheme="minorEastAsia"/>
                <w:bCs/>
                <w:spacing w:val="6"/>
                <w:szCs w:val="28"/>
              </w:rPr>
            </w:pPr>
            <w:r>
              <w:rPr>
                <w:rFonts w:cs="Times New Roman Regular" w:asciiTheme="minorEastAsia" w:hAnsiTheme="minorEastAsia" w:eastAsiaTheme="minorEastAsia"/>
                <w:bCs/>
                <w:spacing w:val="6"/>
                <w:szCs w:val="28"/>
              </w:rPr>
              <w:t xml:space="preserve">2. </w:t>
            </w:r>
            <w:r>
              <w:rPr>
                <w:rFonts w:hint="eastAsia" w:cs="Times New Roman Regular" w:asciiTheme="minorEastAsia" w:hAnsiTheme="minorEastAsia" w:eastAsiaTheme="minorEastAsia"/>
                <w:bCs/>
                <w:spacing w:val="6"/>
                <w:szCs w:val="28"/>
              </w:rPr>
              <w:t>探明基于脂肪酶催化多肽合成的调控策略</w:t>
            </w:r>
          </w:p>
          <w:p w14:paraId="5B363DFE">
            <w:pPr>
              <w:adjustRightInd w:val="0"/>
              <w:snapToGrid w:val="0"/>
              <w:ind w:firstLine="504" w:firstLineChars="200"/>
              <w:rPr>
                <w:rFonts w:cs="Times New Roman Regular" w:asciiTheme="minorEastAsia" w:hAnsiTheme="minorEastAsia" w:eastAsiaTheme="minorEastAsia"/>
                <w:bCs/>
                <w:spacing w:val="6"/>
                <w:szCs w:val="28"/>
              </w:rPr>
            </w:pPr>
            <w:r>
              <w:rPr>
                <w:rFonts w:hint="eastAsia" w:cs="Times New Roman Regular" w:asciiTheme="minorEastAsia" w:hAnsiTheme="minorEastAsia" w:eastAsiaTheme="minorEastAsia"/>
                <w:bCs/>
                <w:spacing w:val="6"/>
                <w:szCs w:val="28"/>
              </w:rPr>
              <w:t>基于脂肪酶催化氨基酸形成多肽的普遍性、特异性规律，探明基于不同氨基酸、不同催化条件、不同脂肪酶介导的多类型多肽高效合成的差异化调控策略。</w:t>
            </w:r>
          </w:p>
          <w:p w14:paraId="4AF52745">
            <w:pPr>
              <w:adjustRightInd w:val="0"/>
              <w:snapToGrid w:val="0"/>
              <w:rPr>
                <w:rFonts w:cs="Times New Roman Regular" w:asciiTheme="minorEastAsia" w:hAnsiTheme="minorEastAsia" w:eastAsiaTheme="minorEastAsia"/>
                <w:bCs/>
                <w:spacing w:val="6"/>
                <w:szCs w:val="28"/>
              </w:rPr>
            </w:pPr>
            <w:r>
              <w:rPr>
                <w:rFonts w:cs="Times New Roman Regular" w:asciiTheme="minorEastAsia" w:hAnsiTheme="minorEastAsia" w:eastAsiaTheme="minorEastAsia"/>
                <w:bCs/>
                <w:spacing w:val="6"/>
                <w:szCs w:val="28"/>
              </w:rPr>
              <w:t xml:space="preserve">3. </w:t>
            </w:r>
            <w:r>
              <w:rPr>
                <w:rFonts w:hint="eastAsia" w:cs="Times New Roman Regular" w:asciiTheme="minorEastAsia" w:hAnsiTheme="minorEastAsia" w:eastAsiaTheme="minorEastAsia"/>
                <w:bCs/>
                <w:spacing w:val="6"/>
                <w:szCs w:val="28"/>
              </w:rPr>
              <w:t>构建基于脂肪酶催化多肽合成的多维机制</w:t>
            </w:r>
          </w:p>
          <w:p w14:paraId="7236FEAE">
            <w:pPr>
              <w:adjustRightInd w:val="0"/>
              <w:snapToGrid w:val="0"/>
              <w:ind w:firstLine="504" w:firstLineChars="200"/>
              <w:rPr>
                <w:rFonts w:cs="Times New Roman Regular" w:asciiTheme="minorEastAsia" w:hAnsiTheme="minorEastAsia" w:eastAsiaTheme="minorEastAsia"/>
                <w:bCs/>
                <w:spacing w:val="6"/>
                <w:szCs w:val="28"/>
              </w:rPr>
            </w:pPr>
            <w:r>
              <w:rPr>
                <w:rFonts w:hint="eastAsia" w:cs="Times New Roman Regular" w:asciiTheme="minorEastAsia" w:hAnsiTheme="minorEastAsia" w:eastAsiaTheme="minorEastAsia"/>
                <w:bCs/>
                <w:spacing w:val="6"/>
                <w:szCs w:val="28"/>
              </w:rPr>
              <w:t>深入阐释并构建由氨基酸“自下而上”合成多肽策略中的肽键高效形成机制、脂肪酶活性激励与抑制机制、酶催化专一性与特异性机制、多肽分子定向构建机制等多维机制。</w:t>
            </w:r>
          </w:p>
          <w:p w14:paraId="20947E58">
            <w:pPr>
              <w:adjustRightInd w:val="0"/>
              <w:snapToGrid w:val="0"/>
              <w:rPr>
                <w:rFonts w:ascii="方正仿宋简体" w:eastAsia="方正仿宋简体"/>
                <w:sz w:val="28"/>
                <w:szCs w:val="28"/>
              </w:rPr>
            </w:pPr>
          </w:p>
        </w:tc>
      </w:tr>
      <w:tr w14:paraId="6C0A55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57" w:type="dxa"/>
            <w:left w:w="57" w:type="dxa"/>
            <w:bottom w:w="57" w:type="dxa"/>
            <w:right w:w="57" w:type="dxa"/>
          </w:tblCellMar>
        </w:tblPrEx>
        <w:trPr>
          <w:trHeight w:val="1095" w:hRule="atLeast"/>
          <w:jc w:val="center"/>
        </w:trPr>
        <w:tc>
          <w:tcPr>
            <w:tcW w:w="2112" w:type="dxa"/>
            <w:tcBorders>
              <w:tl2br w:val="nil"/>
              <w:tr2bl w:val="nil"/>
            </w:tcBorders>
            <w:shd w:val="clear" w:color="auto" w:fill="FFFFFF"/>
            <w:vAlign w:val="center"/>
          </w:tcPr>
          <w:p w14:paraId="5D2DFEDA">
            <w:pPr>
              <w:adjustRightInd w:val="0"/>
              <w:snapToGrid w:val="0"/>
              <w:spacing w:line="560" w:lineRule="exact"/>
              <w:jc w:val="center"/>
              <w:rPr>
                <w:rFonts w:ascii="方正楷体简体" w:eastAsia="方正楷体简体"/>
                <w:sz w:val="28"/>
                <w:szCs w:val="28"/>
                <w:lang w:val="en-US"/>
              </w:rPr>
            </w:pPr>
            <w:r>
              <w:rPr>
                <w:rFonts w:hint="eastAsia" w:ascii="方正楷体简体" w:eastAsia="方正楷体简体"/>
                <w:sz w:val="28"/>
                <w:szCs w:val="28"/>
                <w:lang w:val="en-US"/>
              </w:rPr>
              <w:t>具体要求</w:t>
            </w:r>
          </w:p>
        </w:tc>
        <w:tc>
          <w:tcPr>
            <w:tcW w:w="6392" w:type="dxa"/>
            <w:tcBorders>
              <w:tl2br w:val="nil"/>
              <w:tr2bl w:val="nil"/>
            </w:tcBorders>
            <w:shd w:val="clear" w:color="auto" w:fill="FFFFFF"/>
            <w:vAlign w:val="center"/>
          </w:tcPr>
          <w:p w14:paraId="2A7240B0">
            <w:pPr>
              <w:adjustRightInd w:val="0"/>
              <w:snapToGrid w:val="0"/>
              <w:ind w:firstLine="504" w:firstLineChars="200"/>
              <w:rPr>
                <w:rFonts w:cs="Times New Roman Regular" w:asciiTheme="minorEastAsia" w:hAnsiTheme="minorEastAsia" w:eastAsiaTheme="minorEastAsia"/>
                <w:bCs/>
                <w:spacing w:val="6"/>
                <w:szCs w:val="28"/>
              </w:rPr>
            </w:pPr>
            <w:r>
              <w:rPr>
                <w:rFonts w:hint="eastAsia" w:cs="Times New Roman Regular" w:asciiTheme="minorEastAsia" w:hAnsiTheme="minorEastAsia" w:eastAsiaTheme="minorEastAsia"/>
                <w:bCs/>
                <w:spacing w:val="6"/>
                <w:szCs w:val="28"/>
              </w:rPr>
              <w:t>招募人数</w:t>
            </w:r>
            <w:r>
              <w:rPr>
                <w:rFonts w:hint="eastAsia" w:cs="Times New Roman Regular" w:asciiTheme="minorEastAsia" w:hAnsiTheme="minorEastAsia" w:eastAsiaTheme="minorEastAsia"/>
                <w:b/>
                <w:bCs w:val="0"/>
                <w:spacing w:val="6"/>
                <w:szCs w:val="28"/>
              </w:rPr>
              <w:t>不超过</w:t>
            </w:r>
            <w:r>
              <w:rPr>
                <w:rFonts w:cs="Times New Roman Regular" w:asciiTheme="minorEastAsia" w:hAnsiTheme="minorEastAsia" w:eastAsiaTheme="minorEastAsia"/>
                <w:b/>
                <w:bCs w:val="0"/>
                <w:spacing w:val="6"/>
                <w:szCs w:val="28"/>
              </w:rPr>
              <w:t>3</w:t>
            </w:r>
            <w:r>
              <w:rPr>
                <w:rFonts w:hint="eastAsia" w:cs="Times New Roman Regular" w:asciiTheme="minorEastAsia" w:hAnsiTheme="minorEastAsia" w:eastAsiaTheme="minorEastAsia"/>
                <w:b/>
                <w:bCs w:val="0"/>
                <w:spacing w:val="6"/>
                <w:szCs w:val="28"/>
              </w:rPr>
              <w:t>人</w:t>
            </w:r>
            <w:r>
              <w:rPr>
                <w:rFonts w:hint="eastAsia" w:cs="Times New Roman Regular" w:asciiTheme="minorEastAsia" w:hAnsiTheme="minorEastAsia" w:eastAsiaTheme="minorEastAsia"/>
                <w:bCs/>
                <w:spacing w:val="6"/>
                <w:szCs w:val="28"/>
              </w:rPr>
              <w:t>，要求</w:t>
            </w:r>
            <w:r>
              <w:rPr>
                <w:rFonts w:hint="eastAsia" w:cs="Times New Roman Regular" w:asciiTheme="minorEastAsia" w:hAnsiTheme="minorEastAsia" w:eastAsiaTheme="minorEastAsia"/>
                <w:b/>
                <w:bCs w:val="0"/>
                <w:spacing w:val="6"/>
                <w:szCs w:val="28"/>
              </w:rPr>
              <w:t>食品学院大二及以上年级，优选有志读研的本科生</w:t>
            </w:r>
            <w:r>
              <w:rPr>
                <w:rFonts w:hint="eastAsia" w:cs="Times New Roman Regular" w:asciiTheme="minorEastAsia" w:hAnsiTheme="minorEastAsia" w:eastAsiaTheme="minorEastAsia"/>
                <w:bCs/>
                <w:spacing w:val="6"/>
                <w:szCs w:val="28"/>
              </w:rPr>
              <w:t>。</w:t>
            </w:r>
          </w:p>
          <w:p w14:paraId="0FDAC943">
            <w:pPr>
              <w:adjustRightInd w:val="0"/>
              <w:snapToGrid w:val="0"/>
              <w:ind w:firstLine="504" w:firstLineChars="200"/>
              <w:rPr>
                <w:rFonts w:cs="Times New Roman Regular" w:asciiTheme="minorEastAsia" w:hAnsiTheme="minorEastAsia" w:eastAsiaTheme="minorEastAsia"/>
                <w:bCs/>
                <w:spacing w:val="6"/>
                <w:szCs w:val="28"/>
              </w:rPr>
            </w:pPr>
            <w:r>
              <w:rPr>
                <w:rFonts w:hint="eastAsia" w:cs="Times New Roman Regular" w:asciiTheme="minorEastAsia" w:hAnsiTheme="minorEastAsia" w:eastAsiaTheme="minorEastAsia"/>
                <w:bCs/>
                <w:spacing w:val="6"/>
                <w:szCs w:val="28"/>
              </w:rPr>
              <w:t>本项目创新性较强，对理论认知及实验操作要求较高，需要学生在老师指导下具有较强的自我思考、学习和探索能力（及兴趣）。</w:t>
            </w:r>
          </w:p>
          <w:p w14:paraId="685C3CEB">
            <w:pPr>
              <w:adjustRightInd w:val="0"/>
              <w:snapToGrid w:val="0"/>
              <w:ind w:firstLine="504" w:firstLineChars="200"/>
              <w:rPr>
                <w:rFonts w:cs="Times New Roman Regular" w:asciiTheme="minorEastAsia" w:hAnsiTheme="minorEastAsia" w:eastAsiaTheme="minorEastAsia"/>
                <w:bCs/>
                <w:spacing w:val="6"/>
                <w:szCs w:val="28"/>
              </w:rPr>
            </w:pPr>
            <w:r>
              <w:rPr>
                <w:rFonts w:hint="eastAsia" w:cs="Times New Roman Regular" w:asciiTheme="minorEastAsia" w:hAnsiTheme="minorEastAsia" w:eastAsiaTheme="minorEastAsia"/>
                <w:bCs/>
                <w:spacing w:val="6"/>
                <w:szCs w:val="28"/>
              </w:rPr>
              <w:t>需要有较充足的时间进入实验室开展课题（时间协调能力、自律能力及效率把握能力）。</w:t>
            </w:r>
          </w:p>
          <w:p w14:paraId="7AE8484F">
            <w:pPr>
              <w:adjustRightInd w:val="0"/>
              <w:snapToGrid w:val="0"/>
              <w:ind w:firstLine="504" w:firstLineChars="200"/>
              <w:rPr>
                <w:rFonts w:cs="Times New Roman Regular" w:asciiTheme="minorEastAsia" w:hAnsiTheme="minorEastAsia" w:eastAsiaTheme="minorEastAsia"/>
                <w:bCs/>
                <w:spacing w:val="6"/>
                <w:szCs w:val="28"/>
              </w:rPr>
            </w:pPr>
            <w:r>
              <w:rPr>
                <w:rFonts w:hint="eastAsia" w:cs="Times New Roman Regular" w:asciiTheme="minorEastAsia" w:hAnsiTheme="minorEastAsia" w:eastAsiaTheme="minorEastAsia"/>
                <w:bCs/>
                <w:spacing w:val="6"/>
                <w:szCs w:val="28"/>
              </w:rPr>
              <w:t>遵守对课题研究及相关思路的基本保密要求。</w:t>
            </w:r>
          </w:p>
          <w:p w14:paraId="65F303AC">
            <w:pPr>
              <w:adjustRightInd w:val="0"/>
              <w:snapToGrid w:val="0"/>
              <w:ind w:firstLine="504" w:firstLineChars="200"/>
              <w:rPr>
                <w:rFonts w:hint="eastAsia" w:ascii="方正仿宋简体" w:eastAsia="方正仿宋简体"/>
                <w:sz w:val="28"/>
                <w:szCs w:val="28"/>
              </w:rPr>
            </w:pPr>
            <w:r>
              <w:rPr>
                <w:rFonts w:hint="eastAsia" w:cs="Times New Roman Regular" w:asciiTheme="minorEastAsia" w:hAnsiTheme="minorEastAsia" w:eastAsiaTheme="minorEastAsia"/>
                <w:bCs/>
                <w:spacing w:val="6"/>
                <w:szCs w:val="28"/>
              </w:rPr>
              <w:t>能接受失败。</w:t>
            </w:r>
          </w:p>
        </w:tc>
      </w:tr>
    </w:tbl>
    <w:p w14:paraId="0EC2C351">
      <w:pPr>
        <w:widowControl w:val="0"/>
        <w:spacing w:line="0" w:lineRule="atLeast"/>
        <w:ind w:firstLine="480" w:firstLineChars="200"/>
        <w:jc w:val="both"/>
      </w:pPr>
    </w:p>
    <w:sectPr>
      <w:footerReference r:id="rId3" w:type="default"/>
      <w:pgSz w:w="11906" w:h="16838"/>
      <w:pgMar w:top="1587" w:right="1474" w:bottom="147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黑体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86"/>
    <w:family w:val="script"/>
    <w:pitch w:val="default"/>
    <w:sig w:usb0="00000000" w:usb1="00000000" w:usb2="00000000" w:usb3="00000000" w:csb0="00040000" w:csb1="00000000"/>
  </w:font>
  <w:font w:name="方正楷体简体">
    <w:altName w:val="宋体"/>
    <w:panose1 w:val="00000000000000000000"/>
    <w:charset w:val="86"/>
    <w:family w:val="auto"/>
    <w:pitch w:val="default"/>
    <w:sig w:usb0="00000000" w:usb1="00000000" w:usb2="00000010" w:usb3="00000000" w:csb0="00040000" w:csb1="00000000"/>
  </w:font>
  <w:font w:name="Times New Roman Regular">
    <w:altName w:val="Times New Roman"/>
    <w:panose1 w:val="00000000000000000000"/>
    <w:charset w:val="00"/>
    <w:family w:val="auto"/>
    <w:pitch w:val="default"/>
    <w:sig w:usb0="00000000" w:usb1="00000000" w:usb2="00000001" w:usb3="00000000" w:csb0="400001BF" w:csb1="DFF70000"/>
  </w:font>
  <w:font w:name="方正仿宋简体">
    <w:altName w:val="微软雅黑"/>
    <w:panose1 w:val="00000000000000000000"/>
    <w:charset w:val="86"/>
    <w:family w:val="auto"/>
    <w:pitch w:val="default"/>
    <w:sig w:usb0="00000000" w:usb1="00000000" w:usb2="00000012" w:usb3="00000000" w:csb0="00040001"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5651566"/>
    </w:sdtPr>
    <w:sdtContent>
      <w:p w14:paraId="10811972">
        <w:pPr>
          <w:pStyle w:val="2"/>
          <w:jc w:val="center"/>
        </w:pPr>
        <w:r>
          <w:fldChar w:fldCharType="begin"/>
        </w:r>
        <w:r>
          <w:instrText xml:space="preserve">PAGE   \* MERGEFORMAT</w:instrText>
        </w:r>
        <w:r>
          <w:fldChar w:fldCharType="separate"/>
        </w:r>
        <w:r>
          <w:rPr>
            <w:lang w:val="zh-CN"/>
          </w:rPr>
          <w:t>4</w:t>
        </w:r>
        <w:r>
          <w:fldChar w:fldCharType="end"/>
        </w:r>
      </w:p>
    </w:sdtContent>
  </w:sdt>
  <w:p w14:paraId="78541DBB">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UzYzFlNDBiZmQzYjliOWI0OTU1ZmRhNTE3ODY5NTAifQ=="/>
  </w:docVars>
  <w:rsids>
    <w:rsidRoot w:val="00FC5B72"/>
    <w:rsid w:val="000533D7"/>
    <w:rsid w:val="000A2D60"/>
    <w:rsid w:val="00154FCE"/>
    <w:rsid w:val="00196312"/>
    <w:rsid w:val="00274D2E"/>
    <w:rsid w:val="002948A1"/>
    <w:rsid w:val="003131B8"/>
    <w:rsid w:val="00522ABA"/>
    <w:rsid w:val="005B4CBB"/>
    <w:rsid w:val="00652923"/>
    <w:rsid w:val="00745C24"/>
    <w:rsid w:val="00867D05"/>
    <w:rsid w:val="009768DC"/>
    <w:rsid w:val="00BA6CD2"/>
    <w:rsid w:val="00BC6E40"/>
    <w:rsid w:val="00C75DE5"/>
    <w:rsid w:val="00D66C77"/>
    <w:rsid w:val="00D77EC8"/>
    <w:rsid w:val="00E75E1F"/>
    <w:rsid w:val="00E9298E"/>
    <w:rsid w:val="00FC5B72"/>
    <w:rsid w:val="065E0D3B"/>
    <w:rsid w:val="137746FA"/>
    <w:rsid w:val="2D091694"/>
    <w:rsid w:val="2FCC5CA8"/>
    <w:rsid w:val="33FB1B8D"/>
    <w:rsid w:val="346735F2"/>
    <w:rsid w:val="381D77E4"/>
    <w:rsid w:val="418A7ABA"/>
    <w:rsid w:val="4CBE77A4"/>
    <w:rsid w:val="604E1113"/>
    <w:rsid w:val="618B3CA1"/>
    <w:rsid w:val="70666977"/>
    <w:rsid w:val="748E78D8"/>
    <w:rsid w:val="75F1132B"/>
    <w:rsid w:val="7803170F"/>
    <w:rsid w:val="ABFF371A"/>
    <w:rsid w:val="F7FD6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GB"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lang w:val="en-US"/>
    </w:rPr>
  </w:style>
  <w:style w:type="paragraph" w:styleId="3">
    <w:name w:val="header"/>
    <w:basedOn w:val="1"/>
    <w:link w:val="7"/>
    <w:qFormat/>
    <w:uiPriority w:val="0"/>
    <w:pPr>
      <w:tabs>
        <w:tab w:val="center" w:pos="4153"/>
        <w:tab w:val="right" w:pos="8306"/>
      </w:tabs>
      <w:snapToGrid w:val="0"/>
      <w:jc w:val="center"/>
    </w:pPr>
    <w:rPr>
      <w:sz w:val="18"/>
      <w:szCs w:val="18"/>
    </w:rPr>
  </w:style>
  <w:style w:type="character" w:styleId="6">
    <w:name w:val="Hyperlink"/>
    <w:basedOn w:val="5"/>
    <w:unhideWhenUsed/>
    <w:qFormat/>
    <w:uiPriority w:val="99"/>
    <w:rPr>
      <w:color w:val="0026E5" w:themeColor="hyperlink"/>
      <w:u w:val="single"/>
      <w14:textFill>
        <w14:solidFill>
          <w14:schemeClr w14:val="hlink"/>
        </w14:solidFill>
      </w14:textFill>
    </w:rPr>
  </w:style>
  <w:style w:type="character" w:customStyle="1" w:styleId="7">
    <w:name w:val="页眉 字符"/>
    <w:basedOn w:val="5"/>
    <w:link w:val="3"/>
    <w:qFormat/>
    <w:uiPriority w:val="0"/>
    <w:rPr>
      <w:rFonts w:eastAsia="Times New Roman"/>
      <w:sz w:val="18"/>
      <w:szCs w:val="18"/>
      <w:lang w:val="en-GB"/>
    </w:rPr>
  </w:style>
  <w:style w:type="character" w:customStyle="1" w:styleId="8">
    <w:name w:val="Unresolved Mention"/>
    <w:basedOn w:val="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1733</Words>
  <Characters>1903</Characters>
  <Lines>14</Lines>
  <Paragraphs>4</Paragraphs>
  <TotalTime>37</TotalTime>
  <ScaleCrop>false</ScaleCrop>
  <LinksUpToDate>false</LinksUpToDate>
  <CharactersWithSpaces>1914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2024-12-12T12:59:00Z</dcterms:created>
  <dc:creator>86191</dc:creator>
  <cp:lastModifiedBy>WPS_1542369157</cp:lastModifiedBy>
  <dcterms:modified xsi:type="dcterms:W3CDTF">2024-12-23T06:03:20Z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D8E6A23A1C3F434C9814F9B7A01DAF7A_13</vt:lpwstr>
  </property>
</Properties>
</file>